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D9A4F2" w14:textId="4D6973EF" w:rsidR="00AE6D18" w:rsidRPr="00AE6D18" w:rsidRDefault="003042A6" w:rsidP="00AE6D18">
      <w:pPr>
        <w:pStyle w:val="Heading1"/>
        <w:rPr>
          <w:rFonts w:eastAsia="Times New Roman"/>
          <w:lang w:val="en"/>
        </w:rPr>
      </w:pPr>
      <w:r>
        <w:rPr>
          <w:rFonts w:eastAsia="Times New Roman"/>
          <w:lang w:val="en"/>
        </w:rPr>
        <w:t>Titus Regional Medical Center: Reducing Emergency Department Workplace Violence Through Telepsychiatry</w:t>
      </w:r>
    </w:p>
    <w:p w14:paraId="22D5C344" w14:textId="6CC17840" w:rsidR="0023189A" w:rsidRPr="004E5D7A" w:rsidRDefault="005C37AA" w:rsidP="004E5D7A">
      <w:pPr>
        <w:jc w:val="center"/>
        <w:rPr>
          <w:rFonts w:cs="Calibri"/>
          <w:color w:val="0F4761"/>
          <w:sz w:val="28"/>
          <w:szCs w:val="28"/>
          <w:lang w:val="en"/>
        </w:rPr>
      </w:pPr>
      <w:r>
        <w:rPr>
          <w:rFonts w:cs="Calibri"/>
          <w:color w:val="0F4761"/>
          <w:sz w:val="28"/>
          <w:szCs w:val="28"/>
        </w:rPr>
        <w:t>Erin E. Sullivan, PhD</w:t>
      </w:r>
    </w:p>
    <w:p w14:paraId="53F302B7" w14:textId="50EBEF4D" w:rsidR="0080287E" w:rsidRPr="002C3830" w:rsidRDefault="005C37AA" w:rsidP="000E3F4B">
      <w:pPr>
        <w:spacing w:after="3000"/>
        <w:jc w:val="center"/>
      </w:pPr>
      <w:r>
        <w:rPr>
          <w:rFonts w:cs="Calibri"/>
          <w:color w:val="0F4761"/>
          <w:sz w:val="28"/>
          <w:szCs w:val="28"/>
        </w:rPr>
        <w:t>Lydia Ramsden, MHA</w:t>
      </w:r>
    </w:p>
    <w:p w14:paraId="16F1862E" w14:textId="1D635832" w:rsidR="00FF6213" w:rsidRPr="000E3F4B" w:rsidRDefault="00FF6213" w:rsidP="00FF6213">
      <w:pPr>
        <w:jc w:val="center"/>
        <w:rPr>
          <w:rFonts w:cs="Calibri"/>
          <w:color w:val="0F4761" w:themeColor="accent1" w:themeShade="BF"/>
        </w:rPr>
      </w:pPr>
      <w:r w:rsidRPr="00643543">
        <w:rPr>
          <w:rFonts w:cs="Calibri"/>
          <w:color w:val="0F4761" w:themeColor="accent1" w:themeShade="BF"/>
        </w:rPr>
        <w:t>Contributing</w:t>
      </w:r>
      <w:r w:rsidR="00670EB6">
        <w:rPr>
          <w:rFonts w:cs="Calibri"/>
          <w:color w:val="0F4761" w:themeColor="accent1" w:themeShade="BF"/>
        </w:rPr>
        <w:t xml:space="preserve"> </w:t>
      </w:r>
      <w:r w:rsidRPr="00643543">
        <w:rPr>
          <w:rFonts w:cs="Calibri"/>
          <w:color w:val="0F4761" w:themeColor="accent1" w:themeShade="BF"/>
        </w:rPr>
        <w:t>Site</w:t>
      </w:r>
      <w:r w:rsidR="00670EB6">
        <w:rPr>
          <w:rFonts w:cs="Calibri"/>
          <w:color w:val="0F4761" w:themeColor="accent1" w:themeShade="BF"/>
        </w:rPr>
        <w:t xml:space="preserve"> </w:t>
      </w:r>
      <w:r w:rsidRPr="00643543">
        <w:rPr>
          <w:rFonts w:cs="Calibri"/>
          <w:color w:val="0F4761" w:themeColor="accent1" w:themeShade="BF"/>
        </w:rPr>
        <w:t>Leade</w:t>
      </w:r>
      <w:r w:rsidR="006133C4">
        <w:rPr>
          <w:rFonts w:cs="Calibri"/>
          <w:color w:val="0F4761" w:themeColor="accent1" w:themeShade="BF"/>
        </w:rPr>
        <w:t>r</w:t>
      </w:r>
      <w:r w:rsidR="00B36634">
        <w:rPr>
          <w:rFonts w:cs="Calibri"/>
          <w:color w:val="0F4761" w:themeColor="accent1" w:themeShade="BF"/>
        </w:rPr>
        <w:t>s</w:t>
      </w:r>
    </w:p>
    <w:p w14:paraId="27C79549" w14:textId="77777777" w:rsidR="00B36634" w:rsidRPr="00643543" w:rsidRDefault="00B36634" w:rsidP="00B36634">
      <w:pPr>
        <w:jc w:val="center"/>
        <w:rPr>
          <w:rFonts w:cs="Calibri"/>
          <w:color w:val="0F4761" w:themeColor="accent1" w:themeShade="BF"/>
        </w:rPr>
      </w:pPr>
      <w:r>
        <w:rPr>
          <w:rFonts w:cs="Calibri"/>
          <w:color w:val="0F4761" w:themeColor="accent1" w:themeShade="BF"/>
        </w:rPr>
        <w:t>Kathy Griffis</w:t>
      </w:r>
      <w:r w:rsidRPr="00643543">
        <w:rPr>
          <w:rFonts w:cs="Calibri"/>
          <w:color w:val="0F4761" w:themeColor="accent1" w:themeShade="BF"/>
        </w:rPr>
        <w:t>, C</w:t>
      </w:r>
      <w:r>
        <w:rPr>
          <w:rFonts w:cs="Calibri"/>
          <w:color w:val="0F4761" w:themeColor="accent1" w:themeShade="BF"/>
        </w:rPr>
        <w:t>O</w:t>
      </w:r>
      <w:r w:rsidRPr="00643543">
        <w:rPr>
          <w:rFonts w:cs="Calibri"/>
          <w:color w:val="0F4761" w:themeColor="accent1" w:themeShade="BF"/>
        </w:rPr>
        <w:t>O</w:t>
      </w:r>
      <w:r>
        <w:rPr>
          <w:rFonts w:cs="Calibri"/>
          <w:color w:val="0F4761" w:themeColor="accent1" w:themeShade="BF"/>
        </w:rPr>
        <w:t>, CNO</w:t>
      </w:r>
    </w:p>
    <w:p w14:paraId="2EB6CAEA" w14:textId="77777777" w:rsidR="00B36634" w:rsidRPr="00643543" w:rsidRDefault="00B36634" w:rsidP="00B36634">
      <w:pPr>
        <w:jc w:val="center"/>
        <w:rPr>
          <w:rFonts w:cs="Calibri"/>
          <w:color w:val="0F4761" w:themeColor="accent1" w:themeShade="BF"/>
        </w:rPr>
      </w:pPr>
      <w:r>
        <w:rPr>
          <w:rFonts w:cs="Calibri"/>
          <w:color w:val="0F4761" w:themeColor="accent1" w:themeShade="BF"/>
        </w:rPr>
        <w:t>Brandon Nance</w:t>
      </w:r>
      <w:r w:rsidRPr="00643543">
        <w:rPr>
          <w:rFonts w:cs="Calibri"/>
          <w:color w:val="0F4761" w:themeColor="accent1" w:themeShade="BF"/>
        </w:rPr>
        <w:t xml:space="preserve">, </w:t>
      </w:r>
      <w:r>
        <w:rPr>
          <w:rFonts w:cs="Calibri"/>
          <w:color w:val="0F4761" w:themeColor="accent1" w:themeShade="BF"/>
        </w:rPr>
        <w:t>RN</w:t>
      </w:r>
    </w:p>
    <w:p w14:paraId="35935218" w14:textId="77777777" w:rsidR="00B36634" w:rsidRDefault="00B36634" w:rsidP="00B36634">
      <w:pPr>
        <w:jc w:val="center"/>
        <w:rPr>
          <w:rFonts w:cs="Calibri"/>
          <w:color w:val="0F4761" w:themeColor="accent1" w:themeShade="BF"/>
        </w:rPr>
      </w:pPr>
      <w:r>
        <w:rPr>
          <w:rFonts w:cs="Calibri"/>
          <w:color w:val="0F4761" w:themeColor="accent1" w:themeShade="BF"/>
        </w:rPr>
        <w:t>Titus Regional Medical Center</w:t>
      </w:r>
    </w:p>
    <w:p w14:paraId="7A333B7F" w14:textId="77777777" w:rsidR="00B36634" w:rsidRPr="00B36634" w:rsidRDefault="000E3F4B" w:rsidP="00B36634">
      <w:pPr>
        <w:pStyle w:val="Heading2"/>
      </w:pPr>
      <w:r>
        <w:br w:type="page"/>
      </w:r>
      <w:r w:rsidR="00B36634" w:rsidRPr="00B36634">
        <w:lastRenderedPageBreak/>
        <w:t>Site and Community Snapshot</w:t>
      </w:r>
    </w:p>
    <w:p w14:paraId="1A7E78D7" w14:textId="1B047584" w:rsidR="00B36634" w:rsidRPr="00B36634" w:rsidRDefault="00B36634" w:rsidP="00B36634">
      <w:r w:rsidRPr="00B36634">
        <w:t>Titus Regional Medical Center (TRMC) is in Mount Pleasant, Texas, serving Northeast Texas as the region</w:t>
      </w:r>
      <w:r w:rsidR="006565C1">
        <w:t>’</w:t>
      </w:r>
      <w:r w:rsidRPr="00B36634">
        <w:t xml:space="preserve">s last remaining independent rural hospital. The hospital is structured as a hospital district with a licensed capacity of 140 beds and typically maintains a census of 60-70 patients (see </w:t>
      </w:r>
      <w:r w:rsidRPr="00B36634">
        <w:rPr>
          <w:b/>
          <w:bCs/>
        </w:rPr>
        <w:t>Table 1</w:t>
      </w:r>
      <w:r w:rsidRPr="00B36634">
        <w:t xml:space="preserve"> for additional site details).</w:t>
      </w:r>
    </w:p>
    <w:p w14:paraId="00EE93C5" w14:textId="4ED48242" w:rsidR="00B36634" w:rsidRPr="00B36634" w:rsidRDefault="00B36634" w:rsidP="00B36634">
      <w:r w:rsidRPr="00B36634">
        <w:t xml:space="preserve">TRMC operates as an independent, nonprofit rural hospital with a strong focus on quality. Over the past decade, the hospital has built an impressive track record of quality designations, helping it </w:t>
      </w:r>
      <w:proofErr w:type="gramStart"/>
      <w:r w:rsidRPr="00B36634">
        <w:t>maintain</w:t>
      </w:r>
      <w:proofErr w:type="gramEnd"/>
      <w:r w:rsidRPr="00B36634">
        <w:t xml:space="preserve"> its independence in an increasingly consolidated healthcare market. The facility serves as a primary stroke center and primary heart attack center, achieving Gold Plus recognition from the American Heart Association for stroke care for eight consecutive years, placing it in the top 16% nationally. The hospital has earned similar accolades for heart attack care, heart failure treatment, and emergency medical services.</w:t>
      </w:r>
    </w:p>
    <w:p w14:paraId="5BA7A0DD" w14:textId="77777777" w:rsidR="00B36634" w:rsidRPr="00B36634" w:rsidRDefault="00B36634" w:rsidP="00B36634">
      <w:pPr>
        <w:pStyle w:val="Heading2"/>
      </w:pPr>
      <w:r w:rsidRPr="00B36634">
        <w:t>Workforce Challenge and Pre-Intervention State</w:t>
      </w:r>
    </w:p>
    <w:p w14:paraId="48D3363F" w14:textId="75CFABB1" w:rsidR="00B36634" w:rsidRPr="00B36634" w:rsidRDefault="00B36634" w:rsidP="00B36634">
      <w:r w:rsidRPr="00B36634">
        <w:t>In 2020, just as newly appointed Chief Nursing Officer Kathy Griffis began her role, the hospital faced a critical workplace violence crisis in the emergency department. The emergency department (ED) director reported that “the emergency department is unsafe, the nurses feel unsafe, it is not a safe place to practice.” A pivotal moment came when Griffis viewed security footage showing the hospital’s trauma coordinator being thrown against a wall “like a ragdoll” by a patient in acute psychosis. This incident represented a pattern of escalating violence that had been building over time.</w:t>
      </w:r>
    </w:p>
    <w:p w14:paraId="69D4ECC5" w14:textId="77777777" w:rsidR="00B36634" w:rsidRPr="00B36634" w:rsidRDefault="00B36634" w:rsidP="00B36634">
      <w:r w:rsidRPr="00B36634">
        <w:t>TRMC entered this work with clear evidence that workplace violence in healthcare was both widespread and underrecognized. A statewide survey conducted just before the pandemic found that 83% of healthcare workers had experienced some form of workplace violence, half had experienced physical violence, and 60% did not report their most recent event, with only about half feeling safe or extremely safe at work. Against this backdrop, the pattern emerging in TRMC’s emergency department was not an isolated issue but a local expression of a broader statewide crisis.</w:t>
      </w:r>
    </w:p>
    <w:p w14:paraId="288C3243" w14:textId="77777777" w:rsidR="00B36634" w:rsidRPr="00B36634" w:rsidRDefault="00B36634" w:rsidP="00B36634">
      <w:r w:rsidRPr="00B36634">
        <w:t>Mental health patients were routinely boarded in the emergency department for extended periods while awaiting inpatient psychiatric beds, often for days or weeks, with little more than emergency behavioral medications. Without psychiatric consultation, patients in acute psychosis sat untreated in bare, isolation-style rooms, a combination that fueled agitation and violence. This strained ED resources through frequent one</w:t>
      </w:r>
      <w:r w:rsidRPr="00B36634">
        <w:noBreakHyphen/>
        <w:t>to</w:t>
      </w:r>
      <w:r w:rsidRPr="00B36634">
        <w:noBreakHyphen/>
        <w:t xml:space="preserve">one assignments for violent or suicidal patients and created safety risks for staff and other patients. </w:t>
      </w:r>
    </w:p>
    <w:p w14:paraId="2570EF03" w14:textId="6132A3D3" w:rsidR="00B36634" w:rsidRPr="00B36634" w:rsidRDefault="00B36634" w:rsidP="00B36634">
      <w:r w:rsidRPr="00B36634">
        <w:t xml:space="preserve">Staff reported repeated incidents of verbal and physical assault, including patients breaking out windows in safe rooms, physically attacking nurses and staff, and creating an environment </w:t>
      </w:r>
      <w:r w:rsidRPr="00B36634">
        <w:lastRenderedPageBreak/>
        <w:t>where healthcare workers did not report violent incidents because they viewed violence as “just part of the job.” Emergency department physicians felt uncomfortable prescribing or managing psychiatric medications, explaining to Griffis, “Those meds are complicated. I can’t dose those meds.” The Local Mental Health Authority (LMHA) experienced severe staffing constraints and could not provide psychiatric practitioners or physicians to initiate medications for emergency cases.</w:t>
      </w:r>
    </w:p>
    <w:p w14:paraId="788E022E" w14:textId="77777777" w:rsidR="00B36634" w:rsidRPr="00B36634" w:rsidRDefault="00B36634" w:rsidP="00C3162B">
      <w:pPr>
        <w:pStyle w:val="Heading2"/>
        <w:spacing w:after="100" w:line="240" w:lineRule="auto"/>
      </w:pPr>
      <w:r w:rsidRPr="00B36634">
        <w:t>Workforce Innovation Overview: Emergency Department Psychiatric Access Network</w:t>
      </w:r>
    </w:p>
    <w:p w14:paraId="7AF69279" w14:textId="5C08DC47" w:rsidR="00B36634" w:rsidRPr="00B36634" w:rsidRDefault="00B36634" w:rsidP="00B36634">
      <w:r w:rsidRPr="00B36634">
        <w:t>TRMC implemented a coordinated workplace violence reduction strategy centered on EDPAN (Emergency Department Psychiatric Access Network), a telepsychiatry consultation service, combined with enhanced security measures, staff training, and systematic response protocols. The innovation brought Texas Tech University Health Sciences Center psychiatrists directly to patients via telemedicine for real-time psychiatric evaluation and medication management in the emergency department. The main goal of the innovation was to reduce verbal and physical violence against emergency department staff while providing expert psychiatric care to patients in acute mental health crisis. The innovation also aimed to decrease unnecessary inpatient psychiatric admissions; reduce emergency department boarding times for psychiatric patients; improve staff safety, confidence, and job satisfaction; and create a culture where workplace violence is reported and addressed rather than accepted.</w:t>
      </w:r>
    </w:p>
    <w:p w14:paraId="605E1E39" w14:textId="21C95FF3" w:rsidR="00B36634" w:rsidRPr="00B36634" w:rsidRDefault="00B36634" w:rsidP="00B36634">
      <w:r w:rsidRPr="00B36634">
        <w:t>The initiative was guided by the principle that mental health patients deserve the same quality of emergency care as patients experiencing cardiac or neurological emergencies. Griffis emphasized the importance of caring for mental health patients “appropriately, compassionately, with empathy,” drawing on her experience in geriatric behavioral health, where she witnessed dramatic recoveries when psychiatric conditions were properly treated. The strategy also recognized that workplace violence prevention required addressing the root cause, untreated psychiatric emergencies, rather than relying solely on law enforcement or physical security measures. As Griffis stated: “This is a multi-pronged problem, and it is a multi-pronged solution. So… if you have an idea, just chip away at it. Something is better than nothing, because we were doing nothing.”</w:t>
      </w:r>
    </w:p>
    <w:p w14:paraId="15BA4AB3" w14:textId="77777777" w:rsidR="00B36634" w:rsidRPr="00B36634" w:rsidRDefault="00B36634" w:rsidP="00B36634">
      <w:pPr>
        <w:pStyle w:val="Heading2"/>
      </w:pPr>
      <w:r w:rsidRPr="00B36634">
        <w:t>Design and Implementation</w:t>
      </w:r>
    </w:p>
    <w:p w14:paraId="26D06E46" w14:textId="77777777" w:rsidR="00B36634" w:rsidRPr="00B36634" w:rsidRDefault="00B36634" w:rsidP="00B36634">
      <w:pPr>
        <w:pStyle w:val="Heading3"/>
        <w:spacing w:before="0"/>
      </w:pPr>
      <w:r w:rsidRPr="00B36634">
        <w:t>Governance and Leadership Structures</w:t>
      </w:r>
    </w:p>
    <w:p w14:paraId="25234494" w14:textId="5AF77997" w:rsidR="00B36634" w:rsidRPr="00B36634" w:rsidRDefault="00B36634" w:rsidP="00B36634">
      <w:r w:rsidRPr="00B36634">
        <w:t xml:space="preserve">The workplace violence initiative was led by Griffis, working closely with the ED Director and ED Charge Nurse. This leadership team brought clinical expertise, operational authority, and a front-line perspective to the implementation process. Griffis leveraged her participation in the Texas Hospital Association Fellowship program to develop the conceptual framework for EDPAN. </w:t>
      </w:r>
      <w:r w:rsidRPr="00B36634">
        <w:lastRenderedPageBreak/>
        <w:t xml:space="preserve">Working with a capstone project team that included other Texas-based hospital executives, the team studied workplace violence patterns across Texas hospitals and developed the EDPAN concept modeled after existing successful programs: CPAN (Children’s Psychiatric Access Network) and </w:t>
      </w:r>
      <w:proofErr w:type="spellStart"/>
      <w:r w:rsidRPr="00B36634">
        <w:t>PeriPAN</w:t>
      </w:r>
      <w:proofErr w:type="spellEnd"/>
      <w:r w:rsidRPr="00B36634">
        <w:t xml:space="preserve"> (Perinatal Psychiatric Access Network), which were partnered with Texas Tech.</w:t>
      </w:r>
    </w:p>
    <w:p w14:paraId="550AB0BD" w14:textId="77777777" w:rsidR="00B36634" w:rsidRPr="00B36634" w:rsidRDefault="00B36634" w:rsidP="00B36634">
      <w:r w:rsidRPr="00B36634">
        <w:t>Once the framework was developed, TRMC’s CEO connected Griffis with the CEO of the Texas Organization of Rural and Community Hospitals, who brought the EDPAN concept to the Texas legislature, resulting in a $7.4 million state appropriation. This funding acknowledged workplace violence as a critical rural workforce issue and enabled rural hospitals to access psychiatric expertise they could not otherwise afford; by December 2024, 12 sites were active, with 7 more enrolling.</w:t>
      </w:r>
    </w:p>
    <w:p w14:paraId="162B2DBC" w14:textId="77777777" w:rsidR="00B36634" w:rsidRPr="00B36634" w:rsidRDefault="00B36634" w:rsidP="00B36634">
      <w:pPr>
        <w:pStyle w:val="Heading3"/>
      </w:pPr>
      <w:r w:rsidRPr="00B36634">
        <w:t>Program Components and Practices</w:t>
      </w:r>
    </w:p>
    <w:p w14:paraId="11864E6E" w14:textId="77777777" w:rsidR="00B36634" w:rsidRPr="00B36634" w:rsidRDefault="00B36634" w:rsidP="00B36634">
      <w:r w:rsidRPr="00B36634">
        <w:t>EDPAN provides 24/7 access to board-certified psychiatrists via telemedicine. Texas Tech psychiatrists conduct comprehensive psychiatric evaluations, provide differential diagnosis, prescribe and manage psychotropic medications, develop safety plans, and make disposition recommendations (discharge home vs. inpatient admission). TRMC created a specialized rapid response team, called the Behavioral Emergency Response Team, which trained to manage behavioral health emergencies and coordinate an immediate response when high-risk psychiatric patients arrive in the ED. The team ensures appropriate security presence, facilitates telepsychiatry consultations, and manages patient placement and monitoring.</w:t>
      </w:r>
    </w:p>
    <w:p w14:paraId="687B9039" w14:textId="2F1FD762" w:rsidR="00B36634" w:rsidRPr="00B36634" w:rsidRDefault="00B36634" w:rsidP="00B36634">
      <w:r w:rsidRPr="00B36634">
        <w:t>All staff completed Crisis Prevention Institute (CPI) training, a trauma</w:t>
      </w:r>
      <w:r w:rsidRPr="00B36634">
        <w:noBreakHyphen/>
        <w:t>informed program that teaches skills to safely de</w:t>
      </w:r>
      <w:r w:rsidRPr="00B36634">
        <w:noBreakHyphen/>
        <w:t>escalate, manage, and prevent challenging or aggressive behaviors. High</w:t>
      </w:r>
      <w:r w:rsidRPr="00B36634">
        <w:noBreakHyphen/>
        <w:t xml:space="preserve">risk area staff, particularly in the behavioral health unit, also received training in safe physical intervention techniques designed to protect frail older adults and others at high risk of injury. TRMC uses a </w:t>
      </w:r>
      <w:r w:rsidR="006565C1">
        <w:t>‘</w:t>
      </w:r>
      <w:r w:rsidRPr="00B36634">
        <w:t>train-the-trainer</w:t>
      </w:r>
      <w:r w:rsidR="006565C1">
        <w:t>’</w:t>
      </w:r>
      <w:r w:rsidRPr="00B36634">
        <w:t xml:space="preserve"> model, with the behavioral health unit director leading safe physical intervention sessions for older adults and those at high-risk of injury, and the security director leading CPI training. Additionally, TRMC implemented mandatory reporting of all workplace violence incidents, signaling a culture change in which this is no longer “part of the job.” The reporting system enabled tracking of trends, identifying high-risk situations, and measuring the effectiveness of interventions.</w:t>
      </w:r>
    </w:p>
    <w:p w14:paraId="6758D8BC" w14:textId="70C5A221" w:rsidR="00B36634" w:rsidRPr="00B36634" w:rsidRDefault="00B36634" w:rsidP="00B36634">
      <w:r w:rsidRPr="00B36634">
        <w:t>TRMC also expanded security camera coverage in high</w:t>
      </w:r>
      <w:r w:rsidRPr="00B36634">
        <w:noBreakHyphen/>
        <w:t>risk areas, with security personnel stationed near the ED for rapid response, and reinforced safe</w:t>
      </w:r>
      <w:r w:rsidRPr="00B36634">
        <w:noBreakHyphen/>
        <w:t>room windows, improved sightlines, and reduced environmental triggers for agitated patients. This created layered security, allowing early intervention before situations escalated to violence.</w:t>
      </w:r>
    </w:p>
    <w:p w14:paraId="567F9211" w14:textId="77777777" w:rsidR="00B36634" w:rsidRPr="00B36634" w:rsidRDefault="00B36634" w:rsidP="00B36634">
      <w:pPr>
        <w:pStyle w:val="Heading3"/>
      </w:pPr>
      <w:r w:rsidRPr="00B36634">
        <w:lastRenderedPageBreak/>
        <w:t>Partnerships and External Relationships</w:t>
      </w:r>
    </w:p>
    <w:p w14:paraId="771373FC" w14:textId="1AC0C802" w:rsidR="00B36634" w:rsidRPr="00B36634" w:rsidRDefault="00B36634" w:rsidP="00B36634">
      <w:r w:rsidRPr="00B36634">
        <w:t>The partnership with Texas Tech brought academic psychiatry expertise to rural practice. Psychiatrists provided not only clinical consultations but also informal education for ED staff, building confidence in managing psychiatric emergencies and understanding psychotropic medications.</w:t>
      </w:r>
    </w:p>
    <w:p w14:paraId="40557445" w14:textId="554D8A55" w:rsidR="00B36634" w:rsidRPr="00B36634" w:rsidRDefault="00B36634" w:rsidP="00B36634">
      <w:r w:rsidRPr="00B36634">
        <w:t>Texas Organization of Rural Community Hospitals (TORCH) served as the intermediary organization, managing the EDPAN program across multiple rural hospitals, facilitating connections between Texas Tech and participating hospitals, and managing program logistics and quality assurance, while advocating for ongoing state funding and program expansion.</w:t>
      </w:r>
    </w:p>
    <w:p w14:paraId="295A604C" w14:textId="6C2151D7" w:rsidR="00B36634" w:rsidRPr="00B36634" w:rsidRDefault="00B36634" w:rsidP="00B36634">
      <w:r w:rsidRPr="00B36634">
        <w:t>While the LMHA faced staffing constraints that limited its ability to provide physician-level services, it continued to provide qualified mental health professionals for certain evaluations and maintained responsibility for outpatient mental health services. The telepsychiatry program complemented rather than replaced LMHA services.</w:t>
      </w:r>
    </w:p>
    <w:p w14:paraId="0B2D064D" w14:textId="77777777" w:rsidR="00B36634" w:rsidRPr="00B36634" w:rsidRDefault="00B36634" w:rsidP="00B36634">
      <w:pPr>
        <w:pStyle w:val="Heading3"/>
      </w:pPr>
      <w:r w:rsidRPr="00B36634">
        <w:t>Infrastructure and Resiliency Elements</w:t>
      </w:r>
    </w:p>
    <w:p w14:paraId="59575E69" w14:textId="1155718A" w:rsidR="00B36634" w:rsidRPr="00B36634" w:rsidRDefault="00B36634" w:rsidP="00B36634">
      <w:r w:rsidRPr="00B36634">
        <w:t>As a technology-enabled solution, technology had to function reliably in high-stress emergency situations. Implementation required reliable telemedicine infrastructure, including high-speed internet connectivity, mobile telemedicine carts with high-resolution cameras and screens, secure HIPAA-compliant video conferencing platforms, and integration with electronic health records for documentation.</w:t>
      </w:r>
    </w:p>
    <w:p w14:paraId="07CDC2F5" w14:textId="473D2F89" w:rsidR="00B36634" w:rsidRPr="00B36634" w:rsidRDefault="00B36634" w:rsidP="00B36634">
      <w:r w:rsidRPr="00B36634">
        <w:t>The behavioral health quality assurance performance improvement (QAPI) team and ED QAPI team conducted a comprehensive review of best practices in psychiatric emergency management and aligned those with current policies and procedures while also identifying gaps. This led to standardizing protocols for psychiatric emergency management, clear escalation pathways, and consistent documentation practices.</w:t>
      </w:r>
    </w:p>
    <w:p w14:paraId="7BBCD830" w14:textId="77777777" w:rsidR="00B36634" w:rsidRPr="00B36634" w:rsidRDefault="00B36634" w:rsidP="00B36634">
      <w:pPr>
        <w:pStyle w:val="Heading2"/>
      </w:pPr>
      <w:r w:rsidRPr="00B36634">
        <w:t>Early Outcomes and Impact</w:t>
      </w:r>
    </w:p>
    <w:p w14:paraId="16BEA991" w14:textId="62D2ACD4" w:rsidR="00B36634" w:rsidRPr="00B36634" w:rsidRDefault="00B36634" w:rsidP="00B36634">
      <w:r w:rsidRPr="00B36634">
        <w:t>The implementation of EDPAN, the Behavioral Emergency Response Team, enhanced security measures, and staff training resulted in measurable reduction in workplace violence incidents. The interventions directly addressed the pre-intervention finding that only 50% of healthcare workers felt safe or extremely safe in their workplace. Emergency department staff reported increased confidence in managing psychiatric emergencies with access to expert psychiatric consultation and standardized response protocols. Staff viewed violence as preventable and reportable rather than an inevitable aspect of the job, enabling data-driven quality improvement. As Griffis noted, “our hospital has really, really changed, especially the emergency department.”</w:t>
      </w:r>
    </w:p>
    <w:p w14:paraId="2B7BEA88" w14:textId="77777777" w:rsidR="00B36634" w:rsidRPr="00B36634" w:rsidRDefault="00B36634" w:rsidP="00B36634">
      <w:pPr>
        <w:pStyle w:val="Heading3"/>
      </w:pPr>
      <w:r w:rsidRPr="00B36634">
        <w:lastRenderedPageBreak/>
        <w:t>Operational and Financial Outcomes</w:t>
      </w:r>
    </w:p>
    <w:p w14:paraId="4BE1287D" w14:textId="399B6BE4" w:rsidR="00B36634" w:rsidRPr="00B36634" w:rsidRDefault="00B36634" w:rsidP="00B36634">
      <w:r w:rsidRPr="00B36634">
        <w:t>The most striking outcome was the reduction in psychiatric inpatient admission recommendations from approximately 90% (pre-EDPAN) to approximately 48% (post-EDPAN). This 42.3 percentage point reduction meant that 52.3% of patients seen via telepsychiatry were now safely discharged home from the ED with safety plans and appropriate medications. The volume of telepsychiatry consultations demonstrated both need and acceptance, with over 175 visits from May to December 2024 and more than 340 visits in 2025. This growth indicated both staff comfort with the service and its value in managing psychiatric emergencies.</w:t>
      </w:r>
    </w:p>
    <w:p w14:paraId="17DB2F62" w14:textId="77777777" w:rsidR="00B36634" w:rsidRPr="00B36634" w:rsidRDefault="00B36634" w:rsidP="00B36634">
      <w:pPr>
        <w:pStyle w:val="Heading3"/>
      </w:pPr>
      <w:r w:rsidRPr="00B36634">
        <w:t>Clinical and Access Outcomes</w:t>
      </w:r>
    </w:p>
    <w:p w14:paraId="4EB592A0" w14:textId="66EAC704" w:rsidR="00B36634" w:rsidRPr="00B36634" w:rsidRDefault="00B36634" w:rsidP="00B36634">
      <w:r w:rsidRPr="00B36634">
        <w:t xml:space="preserve">Patients in acute psychiatric crisis now receive physician-level psychiatric evaluation within hours rather than days or weeks. </w:t>
      </w:r>
      <w:proofErr w:type="spellStart"/>
      <w:r w:rsidRPr="00B36634">
        <w:t>Telepsychiatrists</w:t>
      </w:r>
      <w:proofErr w:type="spellEnd"/>
      <w:r w:rsidRPr="00B36634">
        <w:t xml:space="preserve"> initiate appropriate psychotropic medications immediately, addressing acute psychosis, agitation, and other psychiatric emergencies that previously went untreated while patients were boarded. Overall, EDPAN addressed significant mental health care disparities in rural Texas, where mental health professional shortages mean only 36% of the state’s needs are met; 173 Texas counties have no licensed psychiatrists, and only 24 Texas counties have a single psychiatrist. EDPAN brought psychiatric expertise via telepsychiatry to patients who otherwise had no access to physician-level psychiatric care.</w:t>
      </w:r>
    </w:p>
    <w:p w14:paraId="26C6DDAB" w14:textId="6EC3C1B2" w:rsidR="00B36634" w:rsidRPr="00B36634" w:rsidRDefault="00B36634" w:rsidP="00B36634">
      <w:r w:rsidRPr="00B36634">
        <w:t>Patients discharged home with medication and safety plans had clear follow-up with the LMHA for ongoing outpatient care. This contrasted with the previous pattern, where patients were either admitted or released without adequate treatment plans, frequently resulting in rapid return to the ED.</w:t>
      </w:r>
    </w:p>
    <w:p w14:paraId="36329EEC" w14:textId="77777777" w:rsidR="00B36634" w:rsidRPr="00B36634" w:rsidRDefault="00B36634" w:rsidP="00B36634">
      <w:pPr>
        <w:pStyle w:val="Heading2"/>
      </w:pPr>
      <w:r w:rsidRPr="00B36634">
        <w:t>Lessons Learned and Transferable Insights</w:t>
      </w:r>
    </w:p>
    <w:p w14:paraId="4F07873F" w14:textId="419DC368" w:rsidR="00B36634" w:rsidRPr="00B36634" w:rsidRDefault="00B36634" w:rsidP="00B36634">
      <w:r w:rsidRPr="00B36634">
        <w:t>TRMC’s experience shows that addressing workplace violence in rural emergency departments requires tackling the psychiatric emergency, not just the physical behavior. Rather than investing solely in security or staff restraint training, leaders focused on getting the right expertise to the bedside quickly, using telepsychiatry to treat acute psychosis and agitation as the clinical drivers of violence. This reframing, from “security problem” to “untreated illness problem,” helped staff see violence as preventable and reportable.</w:t>
      </w:r>
    </w:p>
    <w:p w14:paraId="6EDC489C" w14:textId="57E1E04F" w:rsidR="00B36634" w:rsidRPr="00B36634" w:rsidRDefault="00B36634" w:rsidP="00B36634">
      <w:r w:rsidRPr="00B36634">
        <w:t>Leadership credibility and lived clinical experience were central to building trust in the new model. Griffis’s background in behavioral health and her response to the “ragdoll” incident signaled that the organization would no longer normalize harm to staff. Her participation in the Texas Hospital Association Fellowship created a platform to translate a local crisis into a statewide solution and to connect with executive peers and policy advocates who could carry the EDPAN concept to the legislature.</w:t>
      </w:r>
    </w:p>
    <w:p w14:paraId="13DA88E1" w14:textId="5C5E445F" w:rsidR="00B36634" w:rsidRPr="00B36634" w:rsidRDefault="00B36634" w:rsidP="00B36634">
      <w:r w:rsidRPr="00B36634">
        <w:lastRenderedPageBreak/>
        <w:t>The hospital also learned that telepsychiatry could bypass a key bottleneck: ED physicians’ discomfort with psychiatric medications without waiting years for widespread upskilling. By bringing board</w:t>
      </w:r>
      <w:r w:rsidRPr="00B36634">
        <w:noBreakHyphen/>
        <w:t>certified psychiatrists directly into patient encounters, TRMC immediately improved care while allowing emergency physicians to learn through observation and consultation rather than formal retraining. Over time, this combination of “do the right thing now” and “build capacity as you go” proved more realistic for a small rural hospital than trying to create in</w:t>
      </w:r>
      <w:r w:rsidRPr="00B36634">
        <w:noBreakHyphen/>
        <w:t>house psychiatric expertise from scratch.</w:t>
      </w:r>
    </w:p>
    <w:p w14:paraId="41C1CB1F" w14:textId="2771D751" w:rsidR="00B36634" w:rsidRPr="00B36634" w:rsidRDefault="00B36634" w:rsidP="00B36634">
      <w:r w:rsidRPr="00B36634">
        <w:t>Financially, the case underscores that independent rural hospitals are unlikely to sustain psychiatric coverage 24/7 without external support. State funding, channeled through a rural hospital association and paired with an academic partner, made EDPAN feasible for TRMC and its peers, illustrating a replicable policy model for other states. At the hospital level, leaders matched this investment with a culture shift: mandatory reporting, training for both clinical and non</w:t>
      </w:r>
      <w:r w:rsidRPr="00B36634">
        <w:noBreakHyphen/>
        <w:t>clinical staff, and an expectation that every violent incident would be analyzed and used to refine protocols.</w:t>
      </w:r>
    </w:p>
    <w:p w14:paraId="429A449F" w14:textId="555DF9FE" w:rsidR="00B36634" w:rsidRPr="00B36634" w:rsidRDefault="00B36634" w:rsidP="00B36634">
      <w:r w:rsidRPr="00B36634">
        <w:t>For other rural hospitals, several practical insights emerge from TRMC’s experience. Start by documenting the problem, including boarding times, number of assaults, and staff perceptions of safety, to build a compelling case for change. Design interventions that combine clinical treatment, staff training, environmental changes, and reliable reporting systems, rather than relying on any single tactic. Finally, use regional and state networks (fellowships, hospital associations, and academic partners) to move from a single hospital solution to a broader rural infrastructure for emergency psychiatric care.</w:t>
      </w:r>
    </w:p>
    <w:p w14:paraId="334751DE" w14:textId="77777777" w:rsidR="00B36634" w:rsidRPr="00B36634" w:rsidRDefault="00B36634" w:rsidP="00B36634">
      <w:pPr>
        <w:pStyle w:val="Heading2"/>
      </w:pPr>
      <w:r w:rsidRPr="00B36634">
        <w:t>Looking Ahead: Next Steps and Sustainability</w:t>
      </w:r>
    </w:p>
    <w:p w14:paraId="521C7DC6" w14:textId="77777777" w:rsidR="00B36634" w:rsidRPr="00B36634" w:rsidRDefault="00B36634" w:rsidP="00B36634">
      <w:r w:rsidRPr="00B36634">
        <w:t>EDPAN’s continued expansion across Texas highlights the ongoing need for emergency psychiatric services in rural communities and reinforces telepsychiatry as a viable model for delivering that care. At TRMC, next steps include refining ED and Behavioral Emergency Response Team protocols based on accumulated experience, tightening integration between telepsychiatry and the electronic health record, and strengthening linkages to outpatient follow</w:t>
      </w:r>
      <w:r w:rsidRPr="00B36634">
        <w:noBreakHyphen/>
        <w:t>up so fewer patients cycle back through the ED. Long</w:t>
      </w:r>
      <w:r w:rsidRPr="00B36634">
        <w:noBreakHyphen/>
        <w:t>term sustainability will depend on stable state funding, a sustained commitment to staff training and security/technology infrastructure, and preserving a culture where workplace violence is consistently reported and addressed. As more than half of telepsychiatry patients are now safely discharged rather than admitted, TRMC’s experience offers policymakers a compelling case for continued investment and gives other states a practical blueprint for building their own rural emergency psychiatric access networks.</w:t>
      </w:r>
    </w:p>
    <w:p w14:paraId="2A1203C0" w14:textId="77777777" w:rsidR="00B36634" w:rsidRPr="00B36634" w:rsidRDefault="00B36634" w:rsidP="00B36634">
      <w:r w:rsidRPr="00B36634">
        <w:br w:type="page"/>
      </w:r>
    </w:p>
    <w:p w14:paraId="1026A908" w14:textId="77777777" w:rsidR="00B36634" w:rsidRPr="00B36634" w:rsidRDefault="00B36634" w:rsidP="00B36634">
      <w:pPr>
        <w:spacing w:after="80"/>
      </w:pPr>
      <w:r w:rsidRPr="00B36634">
        <w:rPr>
          <w:b/>
          <w:bCs/>
        </w:rPr>
        <w:lastRenderedPageBreak/>
        <w:t>Table 1.</w:t>
      </w:r>
      <w:r w:rsidRPr="00B36634">
        <w:t xml:space="preserve"> Demographic and Statistical Overview of Titus Regional Medical Center</w:t>
      </w:r>
    </w:p>
    <w:tbl>
      <w:tblPr>
        <w:tblW w:w="5000" w:type="pct"/>
        <w:tblCellMar>
          <w:top w:w="15" w:type="dxa"/>
          <w:left w:w="15" w:type="dxa"/>
          <w:bottom w:w="15" w:type="dxa"/>
          <w:right w:w="15" w:type="dxa"/>
        </w:tblCellMar>
        <w:tblLook w:val="04A0" w:firstRow="1" w:lastRow="0" w:firstColumn="1" w:lastColumn="0" w:noHBand="0" w:noVBand="1"/>
      </w:tblPr>
      <w:tblGrid>
        <w:gridCol w:w="3670"/>
        <w:gridCol w:w="5674"/>
      </w:tblGrid>
      <w:tr w:rsidR="00B36634" w:rsidRPr="00B36634" w14:paraId="23150FDA" w14:textId="77777777" w:rsidTr="00DD7908">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362F47F0" w14:textId="77777777" w:rsidR="00B36634" w:rsidRPr="00B36634" w:rsidRDefault="00B36634" w:rsidP="00B36634">
            <w:pPr>
              <w:pStyle w:val="NoSpacing"/>
              <w:rPr>
                <w:b/>
                <w:bCs/>
                <w:sz w:val="22"/>
                <w:szCs w:val="22"/>
              </w:rPr>
            </w:pPr>
            <w:r w:rsidRPr="00B36634">
              <w:rPr>
                <w:b/>
                <w:bCs/>
                <w:sz w:val="22"/>
                <w:szCs w:val="22"/>
              </w:rPr>
              <w:t>Characteristic</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4EE78639" w14:textId="77777777" w:rsidR="00B36634" w:rsidRPr="00B36634" w:rsidRDefault="00B36634" w:rsidP="00B36634">
            <w:pPr>
              <w:pStyle w:val="NoSpacing"/>
              <w:rPr>
                <w:b/>
                <w:bCs/>
                <w:sz w:val="22"/>
                <w:szCs w:val="22"/>
              </w:rPr>
            </w:pPr>
            <w:r w:rsidRPr="00B36634">
              <w:rPr>
                <w:b/>
                <w:bCs/>
                <w:sz w:val="22"/>
                <w:szCs w:val="22"/>
              </w:rPr>
              <w:t>Value</w:t>
            </w:r>
          </w:p>
        </w:tc>
      </w:tr>
      <w:tr w:rsidR="00B36634" w:rsidRPr="00B36634" w14:paraId="5EBCB11C" w14:textId="77777777" w:rsidTr="00DD790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A0DDB2F" w14:textId="77777777" w:rsidR="00B36634" w:rsidRPr="00B36634" w:rsidRDefault="00B36634" w:rsidP="00B36634">
            <w:pPr>
              <w:pStyle w:val="NoSpacing"/>
              <w:rPr>
                <w:sz w:val="22"/>
                <w:szCs w:val="22"/>
              </w:rPr>
            </w:pPr>
            <w:r w:rsidRPr="00B36634">
              <w:rPr>
                <w:sz w:val="22"/>
                <w:szCs w:val="22"/>
              </w:rPr>
              <w:t>Licensed bed capacity</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09E94BC" w14:textId="77777777" w:rsidR="00B36634" w:rsidRPr="00B36634" w:rsidRDefault="00B36634" w:rsidP="00B36634">
            <w:pPr>
              <w:pStyle w:val="NoSpacing"/>
              <w:rPr>
                <w:sz w:val="22"/>
                <w:szCs w:val="22"/>
              </w:rPr>
            </w:pPr>
            <w:r w:rsidRPr="00B36634">
              <w:rPr>
                <w:sz w:val="22"/>
                <w:szCs w:val="22"/>
              </w:rPr>
              <w:t>140+ beds</w:t>
            </w:r>
          </w:p>
        </w:tc>
      </w:tr>
      <w:tr w:rsidR="00B36634" w:rsidRPr="00B36634" w14:paraId="20C8AEC6" w14:textId="77777777" w:rsidTr="00DD790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7E35D96" w14:textId="77777777" w:rsidR="00B36634" w:rsidRPr="00B36634" w:rsidRDefault="00B36634" w:rsidP="00B36634">
            <w:pPr>
              <w:pStyle w:val="NoSpacing"/>
              <w:rPr>
                <w:sz w:val="22"/>
                <w:szCs w:val="22"/>
              </w:rPr>
            </w:pPr>
            <w:r w:rsidRPr="00B36634">
              <w:rPr>
                <w:sz w:val="22"/>
                <w:szCs w:val="22"/>
              </w:rPr>
              <w:t>Typical inpatient census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889FD56" w14:textId="77777777" w:rsidR="00B36634" w:rsidRPr="00B36634" w:rsidRDefault="00B36634" w:rsidP="00B36634">
            <w:pPr>
              <w:pStyle w:val="NoSpacing"/>
              <w:rPr>
                <w:sz w:val="22"/>
                <w:szCs w:val="22"/>
              </w:rPr>
            </w:pPr>
            <w:r w:rsidRPr="00B36634">
              <w:rPr>
                <w:sz w:val="22"/>
                <w:szCs w:val="22"/>
              </w:rPr>
              <w:t>60–70 patients</w:t>
            </w:r>
          </w:p>
        </w:tc>
      </w:tr>
      <w:tr w:rsidR="00B36634" w:rsidRPr="00B36634" w14:paraId="19BC3989" w14:textId="77777777" w:rsidTr="00DD790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DE5B64C" w14:textId="77777777" w:rsidR="00B36634" w:rsidRPr="00B36634" w:rsidRDefault="00B36634" w:rsidP="00B36634">
            <w:pPr>
              <w:pStyle w:val="NoSpacing"/>
              <w:rPr>
                <w:sz w:val="22"/>
                <w:szCs w:val="22"/>
              </w:rPr>
            </w:pPr>
            <w:r w:rsidRPr="00B36634">
              <w:rPr>
                <w:sz w:val="22"/>
                <w:szCs w:val="22"/>
              </w:rPr>
              <w:t>Geographic classification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08F6FAF" w14:textId="77777777" w:rsidR="00B36634" w:rsidRPr="00B36634" w:rsidRDefault="00B36634" w:rsidP="00B36634">
            <w:pPr>
              <w:pStyle w:val="NoSpacing"/>
              <w:rPr>
                <w:sz w:val="22"/>
                <w:szCs w:val="22"/>
              </w:rPr>
            </w:pPr>
            <w:r w:rsidRPr="00B36634">
              <w:rPr>
                <w:sz w:val="22"/>
                <w:szCs w:val="22"/>
              </w:rPr>
              <w:t>Rural, Northeast Texas; last independent hospital in region</w:t>
            </w:r>
          </w:p>
        </w:tc>
      </w:tr>
      <w:tr w:rsidR="00B36634" w:rsidRPr="00B36634" w14:paraId="32659E53" w14:textId="77777777" w:rsidTr="00DD790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4F7EFA5" w14:textId="77777777" w:rsidR="00B36634" w:rsidRPr="00B36634" w:rsidRDefault="00B36634" w:rsidP="00B36634">
            <w:pPr>
              <w:pStyle w:val="NoSpacing"/>
              <w:rPr>
                <w:sz w:val="22"/>
                <w:szCs w:val="22"/>
              </w:rPr>
            </w:pPr>
            <w:r w:rsidRPr="00B36634">
              <w:rPr>
                <w:sz w:val="22"/>
                <w:szCs w:val="22"/>
              </w:rPr>
              <w:t>Hospital type/ownership</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6B17F19" w14:textId="77777777" w:rsidR="00B36634" w:rsidRPr="00B36634" w:rsidRDefault="00B36634" w:rsidP="00B36634">
            <w:pPr>
              <w:pStyle w:val="NoSpacing"/>
              <w:rPr>
                <w:sz w:val="22"/>
                <w:szCs w:val="22"/>
              </w:rPr>
            </w:pPr>
            <w:r w:rsidRPr="00B36634">
              <w:rPr>
                <w:sz w:val="22"/>
                <w:szCs w:val="22"/>
              </w:rPr>
              <w:t>Independent hospital district; nonprofit</w:t>
            </w:r>
          </w:p>
        </w:tc>
      </w:tr>
      <w:tr w:rsidR="00B36634" w:rsidRPr="00B36634" w14:paraId="29BE8745" w14:textId="77777777" w:rsidTr="00DD790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F77B17D" w14:textId="77777777" w:rsidR="00B36634" w:rsidRPr="00B36634" w:rsidRDefault="00B36634" w:rsidP="00B36634">
            <w:pPr>
              <w:pStyle w:val="NoSpacing"/>
              <w:rPr>
                <w:sz w:val="22"/>
                <w:szCs w:val="22"/>
              </w:rPr>
            </w:pPr>
            <w:r w:rsidRPr="00B36634">
              <w:rPr>
                <w:sz w:val="22"/>
                <w:szCs w:val="22"/>
              </w:rPr>
              <w:t>Key service lines and designations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DE0F25C" w14:textId="77777777" w:rsidR="00B36634" w:rsidRPr="00B36634" w:rsidRDefault="00B36634" w:rsidP="00B36634">
            <w:pPr>
              <w:pStyle w:val="NoSpacing"/>
              <w:rPr>
                <w:sz w:val="22"/>
                <w:szCs w:val="22"/>
              </w:rPr>
            </w:pPr>
            <w:r w:rsidRPr="00B36634">
              <w:rPr>
                <w:sz w:val="22"/>
                <w:szCs w:val="22"/>
              </w:rPr>
              <w:t>Primary stroke center; primary heart attack center; multiple Gold Plus quality awards (stroke, STEMI, heart failure)</w:t>
            </w:r>
          </w:p>
        </w:tc>
      </w:tr>
      <w:tr w:rsidR="00B36634" w:rsidRPr="00B36634" w14:paraId="0FA245B1" w14:textId="77777777" w:rsidTr="00DD790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D581F5C" w14:textId="77777777" w:rsidR="00B36634" w:rsidRPr="00B36634" w:rsidRDefault="00B36634" w:rsidP="00B36634">
            <w:pPr>
              <w:pStyle w:val="NoSpacing"/>
              <w:rPr>
                <w:sz w:val="22"/>
                <w:szCs w:val="22"/>
              </w:rPr>
            </w:pPr>
            <w:r w:rsidRPr="00B36634">
              <w:rPr>
                <w:sz w:val="22"/>
                <w:szCs w:val="22"/>
              </w:rPr>
              <w:t>Distance to nearest tertiary/major hospital</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8B7D63B" w14:textId="77777777" w:rsidR="00B36634" w:rsidRPr="00B36634" w:rsidRDefault="00B36634" w:rsidP="00B36634">
            <w:pPr>
              <w:pStyle w:val="NoSpacing"/>
              <w:rPr>
                <w:sz w:val="22"/>
                <w:szCs w:val="22"/>
              </w:rPr>
            </w:pPr>
            <w:r w:rsidRPr="00B36634">
              <w:rPr>
                <w:sz w:val="22"/>
                <w:szCs w:val="22"/>
              </w:rPr>
              <w:t>Approximately 1 hour drive</w:t>
            </w:r>
          </w:p>
        </w:tc>
      </w:tr>
      <w:tr w:rsidR="00B36634" w:rsidRPr="00B36634" w14:paraId="6388376E" w14:textId="77777777" w:rsidTr="00DD790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F5849E0" w14:textId="77777777" w:rsidR="00B36634" w:rsidRPr="00B36634" w:rsidRDefault="00B36634" w:rsidP="00B36634">
            <w:pPr>
              <w:pStyle w:val="NoSpacing"/>
              <w:rPr>
                <w:sz w:val="22"/>
                <w:szCs w:val="22"/>
              </w:rPr>
            </w:pPr>
            <w:r w:rsidRPr="00B36634">
              <w:rPr>
                <w:sz w:val="22"/>
                <w:szCs w:val="22"/>
              </w:rPr>
              <w:t>Regional psychiatric workforce context (Texas)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9170784" w14:textId="77777777" w:rsidR="00B36634" w:rsidRPr="00B36634" w:rsidRDefault="00B36634" w:rsidP="00B36634">
            <w:pPr>
              <w:pStyle w:val="NoSpacing"/>
              <w:rPr>
                <w:sz w:val="22"/>
                <w:szCs w:val="22"/>
              </w:rPr>
            </w:pPr>
            <w:r w:rsidRPr="00B36634">
              <w:rPr>
                <w:sz w:val="22"/>
                <w:szCs w:val="22"/>
              </w:rPr>
              <w:t>Only 36% of mental health needs met statewide; 173 counties with no psychiatrist; 24 counties with only one psychiatrist</w:t>
            </w:r>
          </w:p>
        </w:tc>
      </w:tr>
      <w:tr w:rsidR="00B36634" w:rsidRPr="00B36634" w14:paraId="6E7A306E" w14:textId="77777777" w:rsidTr="00DD790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BC3670D" w14:textId="77777777" w:rsidR="00B36634" w:rsidRPr="00B36634" w:rsidRDefault="00B36634" w:rsidP="00B36634">
            <w:pPr>
              <w:pStyle w:val="NoSpacing"/>
              <w:rPr>
                <w:sz w:val="22"/>
                <w:szCs w:val="22"/>
              </w:rPr>
            </w:pPr>
            <w:r w:rsidRPr="00B36634">
              <w:rPr>
                <w:sz w:val="22"/>
                <w:szCs w:val="22"/>
              </w:rPr>
              <w:t>Pre</w:t>
            </w:r>
            <w:r w:rsidRPr="00B36634">
              <w:rPr>
                <w:sz w:val="22"/>
                <w:szCs w:val="22"/>
              </w:rPr>
              <w:noBreakHyphen/>
              <w:t>intervention LMHA inpatient admission recommendation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25553BD" w14:textId="77777777" w:rsidR="00B36634" w:rsidRPr="00B36634" w:rsidRDefault="00B36634" w:rsidP="00B36634">
            <w:pPr>
              <w:pStyle w:val="NoSpacing"/>
              <w:rPr>
                <w:sz w:val="22"/>
                <w:szCs w:val="22"/>
              </w:rPr>
            </w:pPr>
            <w:r w:rsidRPr="00B36634">
              <w:rPr>
                <w:sz w:val="22"/>
                <w:szCs w:val="22"/>
              </w:rPr>
              <w:t>~90% of ED psychiatric patients recommended for inpatient admission</w:t>
            </w:r>
          </w:p>
        </w:tc>
      </w:tr>
      <w:tr w:rsidR="00B36634" w:rsidRPr="00B36634" w14:paraId="5ACFFDF2" w14:textId="77777777" w:rsidTr="00DD790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0A0E3B2" w14:textId="77777777" w:rsidR="00B36634" w:rsidRPr="00B36634" w:rsidRDefault="00B36634" w:rsidP="00B36634">
            <w:pPr>
              <w:pStyle w:val="NoSpacing"/>
              <w:rPr>
                <w:sz w:val="22"/>
                <w:szCs w:val="22"/>
              </w:rPr>
            </w:pPr>
            <w:r w:rsidRPr="00B36634">
              <w:rPr>
                <w:sz w:val="22"/>
                <w:szCs w:val="22"/>
              </w:rPr>
              <w:t>Post</w:t>
            </w:r>
            <w:r w:rsidRPr="00B36634">
              <w:rPr>
                <w:sz w:val="22"/>
                <w:szCs w:val="22"/>
              </w:rPr>
              <w:noBreakHyphen/>
              <w:t>implementation telepsychiatry disposition pattern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74C07B2" w14:textId="77777777" w:rsidR="00B36634" w:rsidRPr="00B36634" w:rsidRDefault="00B36634" w:rsidP="00B36634">
            <w:pPr>
              <w:pStyle w:val="NoSpacing"/>
              <w:rPr>
                <w:sz w:val="22"/>
                <w:szCs w:val="22"/>
              </w:rPr>
            </w:pPr>
            <w:r w:rsidRPr="00B36634">
              <w:rPr>
                <w:sz w:val="22"/>
                <w:szCs w:val="22"/>
              </w:rPr>
              <w:t>52.3% discharged home with safety plan; 47.7% admitted inpatient</w:t>
            </w:r>
          </w:p>
        </w:tc>
      </w:tr>
      <w:tr w:rsidR="00B36634" w:rsidRPr="00B36634" w14:paraId="466F9633" w14:textId="77777777" w:rsidTr="00DD790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84E1549" w14:textId="77777777" w:rsidR="00B36634" w:rsidRPr="00B36634" w:rsidRDefault="00B36634" w:rsidP="00B36634">
            <w:pPr>
              <w:pStyle w:val="NoSpacing"/>
              <w:rPr>
                <w:sz w:val="22"/>
                <w:szCs w:val="22"/>
              </w:rPr>
            </w:pPr>
            <w:r w:rsidRPr="00B36634">
              <w:rPr>
                <w:sz w:val="22"/>
                <w:szCs w:val="22"/>
              </w:rPr>
              <w:t>ED telepsychiatry visits (May–Dec 2024)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69392B2" w14:textId="77777777" w:rsidR="00B36634" w:rsidRPr="00B36634" w:rsidRDefault="00B36634" w:rsidP="00B36634">
            <w:pPr>
              <w:pStyle w:val="NoSpacing"/>
              <w:rPr>
                <w:sz w:val="22"/>
                <w:szCs w:val="22"/>
              </w:rPr>
            </w:pPr>
            <w:r w:rsidRPr="00B36634">
              <w:rPr>
                <w:sz w:val="22"/>
                <w:szCs w:val="22"/>
              </w:rPr>
              <w:t>175+ visits</w:t>
            </w:r>
          </w:p>
        </w:tc>
      </w:tr>
      <w:tr w:rsidR="00B36634" w:rsidRPr="00B36634" w14:paraId="003AA589" w14:textId="77777777" w:rsidTr="00DD790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1E1ECB5" w14:textId="77777777" w:rsidR="00B36634" w:rsidRPr="00B36634" w:rsidRDefault="00B36634" w:rsidP="00B36634">
            <w:pPr>
              <w:pStyle w:val="NoSpacing"/>
              <w:rPr>
                <w:sz w:val="22"/>
                <w:szCs w:val="22"/>
              </w:rPr>
            </w:pPr>
            <w:r w:rsidRPr="00B36634">
              <w:rPr>
                <w:sz w:val="22"/>
                <w:szCs w:val="22"/>
              </w:rPr>
              <w:t>ED telepsychiatry visits (2025)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342AEDA" w14:textId="77777777" w:rsidR="00B36634" w:rsidRPr="00B36634" w:rsidRDefault="00B36634" w:rsidP="00B36634">
            <w:pPr>
              <w:pStyle w:val="NoSpacing"/>
              <w:rPr>
                <w:sz w:val="22"/>
                <w:szCs w:val="22"/>
              </w:rPr>
            </w:pPr>
            <w:r w:rsidRPr="00B36634">
              <w:rPr>
                <w:sz w:val="22"/>
                <w:szCs w:val="22"/>
              </w:rPr>
              <w:t>340+ visits</w:t>
            </w:r>
          </w:p>
        </w:tc>
      </w:tr>
    </w:tbl>
    <w:p w14:paraId="0534DE12" w14:textId="63915D15" w:rsidR="000E3F4B" w:rsidRPr="00B36634" w:rsidRDefault="00B36634" w:rsidP="00B36634">
      <w:pPr>
        <w:spacing w:before="200"/>
      </w:pPr>
      <w:r w:rsidRPr="00B36634">
        <w:t>Source: Titus Regional Medical Center</w:t>
      </w:r>
    </w:p>
    <w:sectPr w:rsidR="000E3F4B" w:rsidRPr="00B36634" w:rsidSect="00423535">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465990" w14:textId="77777777" w:rsidR="00D93285" w:rsidRDefault="00D93285" w:rsidP="00911A5D">
      <w:pPr>
        <w:spacing w:after="0" w:line="240" w:lineRule="auto"/>
      </w:pPr>
      <w:r>
        <w:separator/>
      </w:r>
    </w:p>
  </w:endnote>
  <w:endnote w:type="continuationSeparator" w:id="0">
    <w:p w14:paraId="03EBC521" w14:textId="77777777" w:rsidR="00D93285" w:rsidRDefault="00D93285" w:rsidP="00911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901782612"/>
      <w:docPartObj>
        <w:docPartGallery w:val="Page Numbers (Bottom of Page)"/>
        <w:docPartUnique/>
      </w:docPartObj>
    </w:sdtPr>
    <w:sdtEndPr>
      <w:rPr>
        <w:rFonts w:cs="Calibri"/>
        <w:noProof/>
        <w:sz w:val="20"/>
        <w:szCs w:val="20"/>
      </w:rPr>
    </w:sdtEndPr>
    <w:sdtContent>
      <w:p w14:paraId="22306BC3" w14:textId="70AB5041" w:rsidR="00911A5D" w:rsidRPr="002C3830" w:rsidRDefault="00911A5D">
        <w:pPr>
          <w:pStyle w:val="Footer"/>
          <w:jc w:val="center"/>
          <w:rPr>
            <w:rFonts w:cs="Calibri"/>
            <w:sz w:val="20"/>
            <w:szCs w:val="20"/>
          </w:rPr>
        </w:pPr>
        <w:r w:rsidRPr="002C3830">
          <w:rPr>
            <w:rFonts w:cs="Calibri"/>
            <w:sz w:val="20"/>
            <w:szCs w:val="20"/>
          </w:rPr>
          <w:fldChar w:fldCharType="begin"/>
        </w:r>
        <w:r w:rsidRPr="002C3830">
          <w:rPr>
            <w:rFonts w:cs="Calibri"/>
            <w:sz w:val="20"/>
            <w:szCs w:val="20"/>
          </w:rPr>
          <w:instrText xml:space="preserve"> PAGE   \* MERGEFORMAT </w:instrText>
        </w:r>
        <w:r w:rsidRPr="002C3830">
          <w:rPr>
            <w:rFonts w:cs="Calibri"/>
            <w:sz w:val="20"/>
            <w:szCs w:val="20"/>
          </w:rPr>
          <w:fldChar w:fldCharType="separate"/>
        </w:r>
        <w:r w:rsidRPr="002C3830">
          <w:rPr>
            <w:rFonts w:cs="Calibri"/>
            <w:noProof/>
            <w:sz w:val="20"/>
            <w:szCs w:val="20"/>
          </w:rPr>
          <w:t>2</w:t>
        </w:r>
        <w:r w:rsidRPr="002C3830">
          <w:rPr>
            <w:rFonts w:cs="Calibri"/>
            <w:noProof/>
            <w:sz w:val="20"/>
            <w:szCs w:val="20"/>
          </w:rPr>
          <w:fldChar w:fldCharType="end"/>
        </w:r>
      </w:p>
    </w:sdtContent>
  </w:sdt>
  <w:p w14:paraId="17A2C205" w14:textId="77777777" w:rsidR="00911A5D" w:rsidRDefault="00911A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52DA59" w14:textId="58E2E246" w:rsidR="00F36CCE" w:rsidRPr="00156E57" w:rsidRDefault="00F36CCE" w:rsidP="00F36CCE">
    <w:pPr>
      <w:spacing w:after="0" w:line="240" w:lineRule="auto"/>
      <w:textAlignment w:val="baseline"/>
      <w:rPr>
        <w:rFonts w:eastAsia="Times New Roman" w:cs="Calibri"/>
        <w:color w:val="1F487C"/>
        <w:kern w:val="0"/>
        <w:sz w:val="22"/>
        <w:szCs w:val="22"/>
        <w:lang w:val="en"/>
        <w14:ligatures w14:val="none"/>
      </w:rPr>
    </w:pPr>
    <w:bookmarkStart w:id="0" w:name="_Hlk237513893"/>
    <w:r w:rsidRPr="00156E57">
      <w:rPr>
        <w:rFonts w:eastAsia="Times New Roman" w:cs="Calibri"/>
        <w:color w:val="1F487C"/>
        <w:kern w:val="0"/>
        <w:sz w:val="22"/>
        <w:szCs w:val="22"/>
        <w14:ligatures w14:val="none"/>
      </w:rPr>
      <w:t>©</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2026</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by</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the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authors.</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Excerpts</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may</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be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quoted</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with</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attribution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to</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the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authors</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and</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link</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to</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the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original</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document</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on</w:t>
    </w:r>
    <w:r w:rsidR="00670EB6">
      <w:rPr>
        <w:rFonts w:eastAsia="Times New Roman" w:cs="Calibri"/>
        <w:color w:val="1F487C"/>
        <w:kern w:val="0"/>
        <w:sz w:val="22"/>
        <w:szCs w:val="22"/>
        <w14:ligatures w14:val="none"/>
      </w:rPr>
      <w:t xml:space="preserve"> </w:t>
    </w:r>
    <w:proofErr w:type="spellStart"/>
    <w:r w:rsidRPr="00156E57">
      <w:rPr>
        <w:rFonts w:eastAsia="Times New Roman" w:cs="Calibri"/>
        <w:color w:val="1F487C"/>
        <w:kern w:val="0"/>
        <w:sz w:val="22"/>
        <w:szCs w:val="22"/>
        <w14:ligatures w14:val="none"/>
      </w:rPr>
      <w:t>RHIhub's</w:t>
    </w:r>
    <w:proofErr w:type="spellEnd"/>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website.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Reproduction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or</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republication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in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full</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requires</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written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permission.</w:t>
    </w:r>
  </w:p>
  <w:bookmarkEnd w:id="0"/>
  <w:p w14:paraId="601B21D3" w14:textId="5765FFC2" w:rsidR="00F36CCE" w:rsidRDefault="00F36CCE">
    <w:pPr>
      <w:pStyle w:val="Footer"/>
    </w:pPr>
  </w:p>
  <w:p w14:paraId="41DEFA2D" w14:textId="77777777" w:rsidR="00911A5D" w:rsidRDefault="00911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C9BAF2" w14:textId="77777777" w:rsidR="00D93285" w:rsidRDefault="00D93285" w:rsidP="00911A5D">
      <w:pPr>
        <w:spacing w:after="0" w:line="240" w:lineRule="auto"/>
      </w:pPr>
      <w:r>
        <w:separator/>
      </w:r>
    </w:p>
  </w:footnote>
  <w:footnote w:type="continuationSeparator" w:id="0">
    <w:p w14:paraId="224EE1EA" w14:textId="77777777" w:rsidR="00D93285" w:rsidRDefault="00D93285" w:rsidP="00911A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A11D9A"/>
    <w:multiLevelType w:val="hybridMultilevel"/>
    <w:tmpl w:val="393AD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F67648"/>
    <w:multiLevelType w:val="hybridMultilevel"/>
    <w:tmpl w:val="D616A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201CF2"/>
    <w:multiLevelType w:val="multilevel"/>
    <w:tmpl w:val="4AC4B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F87C17"/>
    <w:multiLevelType w:val="multilevel"/>
    <w:tmpl w:val="9F88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671B93"/>
    <w:multiLevelType w:val="multilevel"/>
    <w:tmpl w:val="13646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9B14A59"/>
    <w:multiLevelType w:val="multilevel"/>
    <w:tmpl w:val="FE024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6515220">
    <w:abstractNumId w:val="4"/>
  </w:num>
  <w:num w:numId="2" w16cid:durableId="2033997540">
    <w:abstractNumId w:val="5"/>
  </w:num>
  <w:num w:numId="3" w16cid:durableId="1914268183">
    <w:abstractNumId w:val="2"/>
  </w:num>
  <w:num w:numId="4" w16cid:durableId="24722111">
    <w:abstractNumId w:val="1"/>
  </w:num>
  <w:num w:numId="5" w16cid:durableId="1913272544">
    <w:abstractNumId w:val="0"/>
  </w:num>
  <w:num w:numId="6" w16cid:durableId="163725089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89A"/>
    <w:rsid w:val="0001572B"/>
    <w:rsid w:val="000620C9"/>
    <w:rsid w:val="000E3F4B"/>
    <w:rsid w:val="000F4810"/>
    <w:rsid w:val="00137D3F"/>
    <w:rsid w:val="00156E57"/>
    <w:rsid w:val="00171DFC"/>
    <w:rsid w:val="0017271A"/>
    <w:rsid w:val="001B6902"/>
    <w:rsid w:val="001D2EC4"/>
    <w:rsid w:val="001D45E5"/>
    <w:rsid w:val="00227334"/>
    <w:rsid w:val="0023189A"/>
    <w:rsid w:val="00267037"/>
    <w:rsid w:val="0027540B"/>
    <w:rsid w:val="002C3830"/>
    <w:rsid w:val="002E002A"/>
    <w:rsid w:val="003042A6"/>
    <w:rsid w:val="0031541D"/>
    <w:rsid w:val="00345EE7"/>
    <w:rsid w:val="003B703A"/>
    <w:rsid w:val="003B7AC9"/>
    <w:rsid w:val="003D38B9"/>
    <w:rsid w:val="003F78A8"/>
    <w:rsid w:val="00423535"/>
    <w:rsid w:val="0045000F"/>
    <w:rsid w:val="00481C1C"/>
    <w:rsid w:val="004E2500"/>
    <w:rsid w:val="004E5D7A"/>
    <w:rsid w:val="00547E0A"/>
    <w:rsid w:val="005C37AA"/>
    <w:rsid w:val="006133C4"/>
    <w:rsid w:val="006565C1"/>
    <w:rsid w:val="006631AE"/>
    <w:rsid w:val="00670EB6"/>
    <w:rsid w:val="006B1274"/>
    <w:rsid w:val="00763A8B"/>
    <w:rsid w:val="007A6122"/>
    <w:rsid w:val="007E36AB"/>
    <w:rsid w:val="0080287E"/>
    <w:rsid w:val="00852586"/>
    <w:rsid w:val="00867EEA"/>
    <w:rsid w:val="00873CC7"/>
    <w:rsid w:val="008C28C1"/>
    <w:rsid w:val="008E1E4C"/>
    <w:rsid w:val="00911A5D"/>
    <w:rsid w:val="0096253D"/>
    <w:rsid w:val="009C698A"/>
    <w:rsid w:val="00A45556"/>
    <w:rsid w:val="00A5308B"/>
    <w:rsid w:val="00AE6D18"/>
    <w:rsid w:val="00B24109"/>
    <w:rsid w:val="00B36634"/>
    <w:rsid w:val="00B655EC"/>
    <w:rsid w:val="00B72A15"/>
    <w:rsid w:val="00BC03C4"/>
    <w:rsid w:val="00BF5585"/>
    <w:rsid w:val="00C01A8A"/>
    <w:rsid w:val="00C272C8"/>
    <w:rsid w:val="00C3162B"/>
    <w:rsid w:val="00CC49ED"/>
    <w:rsid w:val="00CD22EB"/>
    <w:rsid w:val="00D52871"/>
    <w:rsid w:val="00D81B28"/>
    <w:rsid w:val="00D93285"/>
    <w:rsid w:val="00DB0F90"/>
    <w:rsid w:val="00E20BA8"/>
    <w:rsid w:val="00E27683"/>
    <w:rsid w:val="00E44375"/>
    <w:rsid w:val="00E62640"/>
    <w:rsid w:val="00E77085"/>
    <w:rsid w:val="00E84DBB"/>
    <w:rsid w:val="00E972C3"/>
    <w:rsid w:val="00EC17B8"/>
    <w:rsid w:val="00ED6B7A"/>
    <w:rsid w:val="00F06F60"/>
    <w:rsid w:val="00F36CCE"/>
    <w:rsid w:val="00F3726E"/>
    <w:rsid w:val="00F62057"/>
    <w:rsid w:val="00F81F79"/>
    <w:rsid w:val="00FF6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325AC"/>
  <w15:chartTrackingRefBased/>
  <w15:docId w15:val="{F149719D-60AC-1342-922A-567DEC95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98A"/>
    <w:rPr>
      <w:rFonts w:ascii="Calibri" w:hAnsi="Calibri"/>
    </w:rPr>
  </w:style>
  <w:style w:type="paragraph" w:styleId="Heading1">
    <w:name w:val="heading 1"/>
    <w:basedOn w:val="Normal"/>
    <w:next w:val="Normal"/>
    <w:link w:val="Heading1Char"/>
    <w:uiPriority w:val="9"/>
    <w:qFormat/>
    <w:rsid w:val="000E3F4B"/>
    <w:pPr>
      <w:keepNext/>
      <w:keepLines/>
      <w:spacing w:before="1200" w:after="1000" w:line="240" w:lineRule="auto"/>
      <w:jc w:val="center"/>
      <w:outlineLvl w:val="0"/>
    </w:pPr>
    <w:rPr>
      <w:rFonts w:eastAsiaTheme="majorEastAsia" w:cstheme="majorBidi"/>
      <w:color w:val="0F4761"/>
      <w:sz w:val="48"/>
      <w:szCs w:val="40"/>
    </w:rPr>
  </w:style>
  <w:style w:type="paragraph" w:styleId="Heading2">
    <w:name w:val="heading 2"/>
    <w:basedOn w:val="Normal"/>
    <w:next w:val="Normal"/>
    <w:link w:val="Heading2Char"/>
    <w:uiPriority w:val="9"/>
    <w:unhideWhenUsed/>
    <w:qFormat/>
    <w:rsid w:val="007E36AB"/>
    <w:pPr>
      <w:spacing w:after="40"/>
      <w:outlineLvl w:val="1"/>
    </w:pPr>
    <w:rPr>
      <w:rFonts w:eastAsia="Times New Roman" w:cs="Calibri"/>
      <w:color w:val="0F4761"/>
      <w:sz w:val="32"/>
      <w:lang w:val="en"/>
    </w:rPr>
  </w:style>
  <w:style w:type="paragraph" w:styleId="Heading3">
    <w:name w:val="heading 3"/>
    <w:basedOn w:val="Normal"/>
    <w:next w:val="Normal"/>
    <w:link w:val="Heading3Char"/>
    <w:uiPriority w:val="9"/>
    <w:unhideWhenUsed/>
    <w:qFormat/>
    <w:rsid w:val="007E36AB"/>
    <w:pPr>
      <w:keepNext/>
      <w:keepLines/>
      <w:spacing w:before="160" w:after="0"/>
      <w:outlineLvl w:val="2"/>
    </w:pPr>
    <w:rPr>
      <w:rFonts w:eastAsiaTheme="majorEastAsia" w:cstheme="majorBidi"/>
      <w:i/>
      <w:color w:val="0F4761" w:themeColor="accent1" w:themeShade="BF"/>
      <w:sz w:val="28"/>
      <w:szCs w:val="28"/>
    </w:rPr>
  </w:style>
  <w:style w:type="paragraph" w:styleId="Heading4">
    <w:name w:val="heading 4"/>
    <w:basedOn w:val="Normal"/>
    <w:next w:val="Normal"/>
    <w:link w:val="Heading4Char"/>
    <w:uiPriority w:val="9"/>
    <w:unhideWhenUsed/>
    <w:qFormat/>
    <w:rsid w:val="002318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18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18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18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18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18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3F4B"/>
    <w:rPr>
      <w:rFonts w:ascii="Calibri" w:eastAsiaTheme="majorEastAsia" w:hAnsi="Calibri" w:cstheme="majorBidi"/>
      <w:color w:val="0F4761"/>
      <w:sz w:val="48"/>
      <w:szCs w:val="40"/>
    </w:rPr>
  </w:style>
  <w:style w:type="character" w:customStyle="1" w:styleId="Heading2Char">
    <w:name w:val="Heading 2 Char"/>
    <w:basedOn w:val="DefaultParagraphFont"/>
    <w:link w:val="Heading2"/>
    <w:uiPriority w:val="9"/>
    <w:rsid w:val="007E36AB"/>
    <w:rPr>
      <w:rFonts w:ascii="Calibri" w:eastAsia="Times New Roman" w:hAnsi="Calibri" w:cs="Calibri"/>
      <w:color w:val="0F4761"/>
      <w:sz w:val="32"/>
      <w:lang w:val="en"/>
    </w:rPr>
  </w:style>
  <w:style w:type="character" w:customStyle="1" w:styleId="Heading3Char">
    <w:name w:val="Heading 3 Char"/>
    <w:basedOn w:val="DefaultParagraphFont"/>
    <w:link w:val="Heading3"/>
    <w:uiPriority w:val="9"/>
    <w:rsid w:val="007E36AB"/>
    <w:rPr>
      <w:rFonts w:ascii="Calibri" w:eastAsiaTheme="majorEastAsia" w:hAnsi="Calibri" w:cstheme="majorBidi"/>
      <w:i/>
      <w:color w:val="0F4761" w:themeColor="accent1" w:themeShade="BF"/>
      <w:sz w:val="28"/>
      <w:szCs w:val="28"/>
    </w:rPr>
  </w:style>
  <w:style w:type="character" w:customStyle="1" w:styleId="Heading4Char">
    <w:name w:val="Heading 4 Char"/>
    <w:basedOn w:val="DefaultParagraphFont"/>
    <w:link w:val="Heading4"/>
    <w:uiPriority w:val="9"/>
    <w:rsid w:val="002318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18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18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18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18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189A"/>
    <w:rPr>
      <w:rFonts w:eastAsiaTheme="majorEastAsia" w:cstheme="majorBidi"/>
      <w:color w:val="272727" w:themeColor="text1" w:themeTint="D8"/>
    </w:rPr>
  </w:style>
  <w:style w:type="paragraph" w:styleId="Title">
    <w:name w:val="Title"/>
    <w:basedOn w:val="Normal"/>
    <w:next w:val="Normal"/>
    <w:link w:val="TitleChar"/>
    <w:uiPriority w:val="10"/>
    <w:qFormat/>
    <w:rsid w:val="002318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18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18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18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189A"/>
    <w:pPr>
      <w:spacing w:before="160"/>
      <w:jc w:val="center"/>
    </w:pPr>
    <w:rPr>
      <w:i/>
      <w:iCs/>
      <w:color w:val="404040" w:themeColor="text1" w:themeTint="BF"/>
    </w:rPr>
  </w:style>
  <w:style w:type="character" w:customStyle="1" w:styleId="QuoteChar">
    <w:name w:val="Quote Char"/>
    <w:basedOn w:val="DefaultParagraphFont"/>
    <w:link w:val="Quote"/>
    <w:uiPriority w:val="29"/>
    <w:rsid w:val="0023189A"/>
    <w:rPr>
      <w:i/>
      <w:iCs/>
      <w:color w:val="404040" w:themeColor="text1" w:themeTint="BF"/>
    </w:rPr>
  </w:style>
  <w:style w:type="paragraph" w:styleId="ListParagraph">
    <w:name w:val="List Paragraph"/>
    <w:basedOn w:val="Normal"/>
    <w:uiPriority w:val="34"/>
    <w:qFormat/>
    <w:rsid w:val="0023189A"/>
    <w:pPr>
      <w:ind w:left="720"/>
      <w:contextualSpacing/>
    </w:pPr>
  </w:style>
  <w:style w:type="character" w:styleId="IntenseEmphasis">
    <w:name w:val="Intense Emphasis"/>
    <w:basedOn w:val="DefaultParagraphFont"/>
    <w:uiPriority w:val="21"/>
    <w:qFormat/>
    <w:rsid w:val="0023189A"/>
    <w:rPr>
      <w:i/>
      <w:iCs/>
      <w:color w:val="0F4761" w:themeColor="accent1" w:themeShade="BF"/>
    </w:rPr>
  </w:style>
  <w:style w:type="paragraph" w:styleId="IntenseQuote">
    <w:name w:val="Intense Quote"/>
    <w:basedOn w:val="Normal"/>
    <w:next w:val="Normal"/>
    <w:link w:val="IntenseQuoteChar"/>
    <w:uiPriority w:val="30"/>
    <w:qFormat/>
    <w:rsid w:val="002318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189A"/>
    <w:rPr>
      <w:i/>
      <w:iCs/>
      <w:color w:val="0F4761" w:themeColor="accent1" w:themeShade="BF"/>
    </w:rPr>
  </w:style>
  <w:style w:type="character" w:styleId="IntenseReference">
    <w:name w:val="Intense Reference"/>
    <w:basedOn w:val="DefaultParagraphFont"/>
    <w:uiPriority w:val="32"/>
    <w:qFormat/>
    <w:rsid w:val="0023189A"/>
    <w:rPr>
      <w:b/>
      <w:bCs/>
      <w:smallCaps/>
      <w:color w:val="0F4761" w:themeColor="accent1" w:themeShade="BF"/>
      <w:spacing w:val="5"/>
    </w:rPr>
  </w:style>
  <w:style w:type="paragraph" w:customStyle="1" w:styleId="paragraph">
    <w:name w:val="paragraph"/>
    <w:basedOn w:val="Normal"/>
    <w:rsid w:val="0023189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3189A"/>
  </w:style>
  <w:style w:type="character" w:customStyle="1" w:styleId="eop">
    <w:name w:val="eop"/>
    <w:basedOn w:val="DefaultParagraphFont"/>
    <w:rsid w:val="0023189A"/>
  </w:style>
  <w:style w:type="character" w:customStyle="1" w:styleId="scxw187004288">
    <w:name w:val="scxw187004288"/>
    <w:basedOn w:val="DefaultParagraphFont"/>
    <w:rsid w:val="0023189A"/>
  </w:style>
  <w:style w:type="paragraph" w:styleId="Header">
    <w:name w:val="header"/>
    <w:basedOn w:val="Normal"/>
    <w:link w:val="HeaderChar"/>
    <w:uiPriority w:val="99"/>
    <w:unhideWhenUsed/>
    <w:rsid w:val="00911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A5D"/>
  </w:style>
  <w:style w:type="paragraph" w:styleId="Footer">
    <w:name w:val="footer"/>
    <w:basedOn w:val="Normal"/>
    <w:link w:val="FooterChar"/>
    <w:uiPriority w:val="99"/>
    <w:unhideWhenUsed/>
    <w:rsid w:val="00911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A5D"/>
  </w:style>
  <w:style w:type="paragraph" w:styleId="NormalWeb">
    <w:name w:val="Normal (Web)"/>
    <w:basedOn w:val="Normal"/>
    <w:uiPriority w:val="99"/>
    <w:unhideWhenUsed/>
    <w:rsid w:val="00AE6D18"/>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59"/>
    <w:rsid w:val="00AE6D1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AE6D18"/>
    <w:rPr>
      <w:color w:val="467886"/>
      <w:u w:val="single"/>
    </w:rPr>
  </w:style>
  <w:style w:type="paragraph" w:styleId="CommentText">
    <w:name w:val="annotation text"/>
    <w:basedOn w:val="Normal"/>
    <w:link w:val="CommentTextChar"/>
    <w:uiPriority w:val="99"/>
    <w:unhideWhenUsed/>
    <w:rsid w:val="00AE6D18"/>
    <w:pPr>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AE6D18"/>
    <w:rPr>
      <w:sz w:val="20"/>
      <w:szCs w:val="20"/>
    </w:rPr>
  </w:style>
  <w:style w:type="character" w:styleId="CommentReference">
    <w:name w:val="annotation reference"/>
    <w:basedOn w:val="DefaultParagraphFont"/>
    <w:uiPriority w:val="99"/>
    <w:semiHidden/>
    <w:unhideWhenUsed/>
    <w:rsid w:val="00AE6D18"/>
    <w:rPr>
      <w:sz w:val="16"/>
      <w:szCs w:val="16"/>
    </w:rPr>
  </w:style>
  <w:style w:type="paragraph" w:styleId="CommentSubject">
    <w:name w:val="annotation subject"/>
    <w:basedOn w:val="CommentText"/>
    <w:next w:val="CommentText"/>
    <w:link w:val="CommentSubjectChar"/>
    <w:uiPriority w:val="99"/>
    <w:semiHidden/>
    <w:unhideWhenUsed/>
    <w:rsid w:val="00AE6D18"/>
    <w:rPr>
      <w:b/>
      <w:bCs/>
    </w:rPr>
  </w:style>
  <w:style w:type="character" w:customStyle="1" w:styleId="CommentSubjectChar">
    <w:name w:val="Comment Subject Char"/>
    <w:basedOn w:val="CommentTextChar"/>
    <w:link w:val="CommentSubject"/>
    <w:uiPriority w:val="99"/>
    <w:semiHidden/>
    <w:rsid w:val="00AE6D18"/>
    <w:rPr>
      <w:b/>
      <w:bCs/>
      <w:sz w:val="20"/>
      <w:szCs w:val="20"/>
    </w:rPr>
  </w:style>
  <w:style w:type="character" w:styleId="UnresolvedMention">
    <w:name w:val="Unresolved Mention"/>
    <w:basedOn w:val="DefaultParagraphFont"/>
    <w:uiPriority w:val="99"/>
    <w:semiHidden/>
    <w:unhideWhenUsed/>
    <w:rsid w:val="00AE6D18"/>
    <w:rPr>
      <w:color w:val="605E5C"/>
      <w:shd w:val="clear" w:color="auto" w:fill="E1DFDD"/>
    </w:rPr>
  </w:style>
  <w:style w:type="paragraph" w:styleId="NoSpacing">
    <w:name w:val="No Spacing"/>
    <w:uiPriority w:val="1"/>
    <w:qFormat/>
    <w:rsid w:val="00AE6D18"/>
    <w:pPr>
      <w:spacing w:after="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A87825E5440846B854E36B8523C182" ma:contentTypeVersion="15" ma:contentTypeDescription="Create a new document." ma:contentTypeScope="" ma:versionID="e9230f9804e6cfad438b309a1e650a98">
  <xsd:schema xmlns:xsd="http://www.w3.org/2001/XMLSchema" xmlns:xs="http://www.w3.org/2001/XMLSchema" xmlns:p="http://schemas.microsoft.com/office/2006/metadata/properties" xmlns:ns2="30920441-8426-483b-9e19-79ec2fec1af2" xmlns:ns3="15cff7ef-86ae-4d27-9cae-ab075da2de0a" targetNamespace="http://schemas.microsoft.com/office/2006/metadata/properties" ma:root="true" ma:fieldsID="53bcbc03c0b1c8dbe801a0e8b42d6e6f" ns2:_="" ns3:_="">
    <xsd:import namespace="30920441-8426-483b-9e19-79ec2fec1af2"/>
    <xsd:import namespace="15cff7ef-86ae-4d27-9cae-ab075da2de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920441-8426-483b-9e19-79ec2fec1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7bbe1c9-cb6d-4b07-be56-60798be9b5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cff7ef-86ae-4d27-9cae-ab075da2de0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646186d-8289-4ab6-8a51-25c2a768e9a9}" ma:internalName="TaxCatchAll" ma:showField="CatchAllData" ma:web="15cff7ef-86ae-4d27-9cae-ab075da2de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920441-8426-483b-9e19-79ec2fec1af2">
      <Terms xmlns="http://schemas.microsoft.com/office/infopath/2007/PartnerControls"/>
    </lcf76f155ced4ddcb4097134ff3c332f>
    <TaxCatchAll xmlns="15cff7ef-86ae-4d27-9cae-ab075da2de0a" xsi:nil="true"/>
  </documentManagement>
</p:properties>
</file>

<file path=customXml/itemProps1.xml><?xml version="1.0" encoding="utf-8"?>
<ds:datastoreItem xmlns:ds="http://schemas.openxmlformats.org/officeDocument/2006/customXml" ds:itemID="{5C95F2DC-C22B-4FF6-ADA0-C85F91FC6F74}">
  <ds:schemaRefs>
    <ds:schemaRef ds:uri="http://schemas.microsoft.com/sharepoint/v3/contenttype/forms"/>
  </ds:schemaRefs>
</ds:datastoreItem>
</file>

<file path=customXml/itemProps2.xml><?xml version="1.0" encoding="utf-8"?>
<ds:datastoreItem xmlns:ds="http://schemas.openxmlformats.org/officeDocument/2006/customXml" ds:itemID="{892D93AE-6481-46FA-8BBF-9AEEE4FFA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920441-8426-483b-9e19-79ec2fec1af2"/>
    <ds:schemaRef ds:uri="15cff7ef-86ae-4d27-9cae-ab075da2de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1DF4D4-30B1-40AD-8DFF-44EB49925C2D}">
  <ds:schemaRefs>
    <ds:schemaRef ds:uri="http://schemas.microsoft.com/office/2006/metadata/properties"/>
    <ds:schemaRef ds:uri="http://schemas.microsoft.com/office/infopath/2007/PartnerControls"/>
    <ds:schemaRef ds:uri="30920441-8426-483b-9e19-79ec2fec1af2"/>
    <ds:schemaRef ds:uri="15cff7ef-86ae-4d27-9cae-ab075da2de0a"/>
  </ds:schemaRefs>
</ds:datastoreItem>
</file>

<file path=docMetadata/LabelInfo.xml><?xml version="1.0" encoding="utf-8"?>
<clbl:labelList xmlns:clbl="http://schemas.microsoft.com/office/2020/mipLabelMetadata">
  <clbl:label id="{080ca090-da8c-4360-a3bc-148c3bd51ef5}" enabled="1" method="Standard" siteId="{ec37a091-b9a6-47e5-98d0-903d4a419203}" contentBits="0"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8</Pages>
  <Words>2550</Words>
  <Characters>15687</Characters>
  <Application>Microsoft Office Word</Application>
  <DocSecurity>0</DocSecurity>
  <Lines>249</Lines>
  <Paragraphs>90</Paragraphs>
  <ScaleCrop>false</ScaleCrop>
  <HeadingPairs>
    <vt:vector size="2" baseType="variant">
      <vt:variant>
        <vt:lpstr>Title</vt:lpstr>
      </vt:variant>
      <vt:variant>
        <vt:i4>1</vt:i4>
      </vt:variant>
    </vt:vector>
  </HeadingPairs>
  <TitlesOfParts>
    <vt:vector size="1" baseType="lpstr">
      <vt:lpstr>Titus Regional Medical Center: Reducing Emergency Department Workplace Violence Through Telepsychiatry</vt:lpstr>
    </vt:vector>
  </TitlesOfParts>
  <Manager/>
  <Company/>
  <LinksUpToDate>false</LinksUpToDate>
  <CharactersWithSpaces>18147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Titus Regional Medical Center: Reducing Emergency Department Workplace Violence Through Telepsychiatry</dc:title>
  <dc:subject/>
  <dc:creator>Sullivan, Erin E. &amp; Ramsden, Lydia</dc:creator>
  <cp:keywords/>
  <dc:description/>
  <cp:lastModifiedBy>Arnold, Julie</cp:lastModifiedBy>
  <cp:revision>9</cp:revision>
  <dcterms:created xsi:type="dcterms:W3CDTF">2026-09-03T21:41:00Z</dcterms:created>
  <dcterms:modified xsi:type="dcterms:W3CDTF">2026-09-03T22:17:00Z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0x01010017A87825E5440846B854E36B8523C182</vt:lpwstr>
  </property>
</Properties>
</file>